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8D" w:rsidRDefault="00DE2D8D" w:rsidP="00DE2D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E2D8D" w:rsidRDefault="00DE2D8D" w:rsidP="00DE2D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E2D8D" w:rsidRDefault="00DE2D8D" w:rsidP="00DE2D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DE2D8D" w:rsidRPr="00E11FD5" w:rsidRDefault="00DE2D8D" w:rsidP="00DE2D8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11FD5">
        <w:rPr>
          <w:b/>
          <w:sz w:val="20"/>
          <w:szCs w:val="20"/>
        </w:rPr>
        <w:t>osób upoważnionych do odbioru dziecka ze szkoły/świetlicy/przedszkola</w:t>
      </w:r>
    </w:p>
    <w:p w:rsidR="00DE2D8D" w:rsidRPr="00E77856" w:rsidRDefault="00DE2D8D" w:rsidP="00DE2D8D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</w:p>
    <w:p w:rsidR="00DE2D8D" w:rsidRPr="00E11FD5" w:rsidRDefault="00DE2D8D" w:rsidP="00DE2D8D">
      <w:pPr>
        <w:spacing w:afterLines="100" w:after="240" w:line="240" w:lineRule="auto"/>
        <w:contextualSpacing/>
        <w:jc w:val="both"/>
        <w:rPr>
          <w:b/>
          <w:i/>
          <w:color w:val="2E74B5"/>
          <w:sz w:val="20"/>
          <w:szCs w:val="20"/>
        </w:rPr>
      </w:pPr>
      <w:r w:rsidRPr="00E11FD5">
        <w:rPr>
          <w:b/>
          <w:sz w:val="20"/>
          <w:szCs w:val="20"/>
        </w:rPr>
        <w:t>Zespół Szkolno-Przedszkolny nr 1 w Tychach</w:t>
      </w: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Pr="000F1D0A">
        <w:rPr>
          <w:sz w:val="17"/>
          <w:szCs w:val="17"/>
        </w:rPr>
        <w:t>dane</w:t>
      </w:r>
      <w:r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>
        <w:rPr>
          <w:sz w:val="17"/>
          <w:szCs w:val="17"/>
        </w:rPr>
        <w:t>rzetwarzane będą w celu identyfikacji osoby upoważnionej do odbioru dziecka z placówki.</w:t>
      </w:r>
    </w:p>
    <w:p w:rsidR="00DE2D8D" w:rsidRDefault="00DE2D8D" w:rsidP="00DE2D8D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>
        <w:rPr>
          <w:sz w:val="17"/>
          <w:szCs w:val="17"/>
        </w:rPr>
        <w:t>przetwarzanie odbywa się na podstawie udzielonej zgody. Podanie</w:t>
      </w:r>
      <w:r w:rsidRPr="00566D2E">
        <w:rPr>
          <w:sz w:val="17"/>
          <w:szCs w:val="17"/>
        </w:rPr>
        <w:t xml:space="preserve"> danych osobowych jest </w:t>
      </w:r>
      <w:r>
        <w:rPr>
          <w:sz w:val="17"/>
          <w:szCs w:val="17"/>
        </w:rPr>
        <w:t>dobrowolne ale konieczne do właściwej identyfikacji osoby upoważnionej  do odbioru dziecka.</w:t>
      </w:r>
      <w:r w:rsidRPr="0052566E">
        <w:rPr>
          <w:sz w:val="16"/>
          <w:szCs w:val="16"/>
        </w:rPr>
        <w:t xml:space="preserve"> </w:t>
      </w: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DE2D8D" w:rsidRDefault="00DE2D8D" w:rsidP="00DE2D8D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>Odbiorcy danych:</w:t>
      </w:r>
      <w:r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>
        <w:rPr>
          <w:sz w:val="17"/>
          <w:szCs w:val="17"/>
        </w:rPr>
        <w:t>podmioty upoważnione z tytułu przepisów prawa</w:t>
      </w: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>
        <w:rPr>
          <w:rFonts w:cs="Calibri"/>
          <w:color w:val="333333"/>
          <w:sz w:val="17"/>
          <w:szCs w:val="17"/>
        </w:rPr>
        <w:t>uczęszczania dziecka do placówki.</w:t>
      </w: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DE2D8D" w:rsidRPr="00D41FAC" w:rsidRDefault="00DE2D8D" w:rsidP="00DE2D8D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DE2D8D" w:rsidRPr="00D41FAC" w:rsidRDefault="00DE2D8D" w:rsidP="00DE2D8D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DE2D8D" w:rsidRPr="00D41FAC" w:rsidRDefault="00DE2D8D" w:rsidP="00DE2D8D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DE2D8D" w:rsidRPr="00D41FAC" w:rsidRDefault="00DE2D8D" w:rsidP="00DE2D8D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DE2D8D" w:rsidRPr="00D41FAC" w:rsidRDefault="00DE2D8D" w:rsidP="00DE2D8D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DE2D8D" w:rsidRPr="00D41FAC" w:rsidRDefault="00DE2D8D" w:rsidP="00DE2D8D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DE2D8D" w:rsidRPr="00D41FAC" w:rsidRDefault="00DE2D8D" w:rsidP="00DE2D8D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DE2D8D" w:rsidRDefault="00DE2D8D" w:rsidP="00DE2D8D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DE2D8D" w:rsidRPr="00566D2E" w:rsidRDefault="00DE2D8D" w:rsidP="00DE2D8D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DE2D8D" w:rsidRPr="00566D2E" w:rsidRDefault="00DE2D8D" w:rsidP="00DE2D8D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DE2D8D" w:rsidRPr="00E11FD5" w:rsidRDefault="00DE2D8D" w:rsidP="00DE2D8D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i/>
          <w:color w:val="0070C0"/>
          <w:sz w:val="20"/>
          <w:szCs w:val="20"/>
          <w:lang w:val="en-US"/>
        </w:rPr>
      </w:pPr>
      <w:r w:rsidRPr="00566D2E">
        <w:rPr>
          <w:rFonts w:eastAsia="Times New Roman"/>
          <w:color w:val="000000"/>
          <w:sz w:val="17"/>
          <w:szCs w:val="17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/>
        </w:rPr>
        <w:t>e-mail</w:t>
      </w:r>
      <w:r>
        <w:rPr>
          <w:rFonts w:eastAsia="Times New Roman"/>
          <w:sz w:val="17"/>
          <w:szCs w:val="17"/>
          <w:lang w:val="en-US"/>
        </w:rPr>
        <w:t xml:space="preserve">: </w:t>
      </w:r>
      <w:r w:rsidRPr="00E11FD5">
        <w:rPr>
          <w:rFonts w:eastAsia="Times New Roman"/>
          <w:b/>
          <w:sz w:val="20"/>
          <w:szCs w:val="20"/>
          <w:lang w:val="en-US"/>
        </w:rPr>
        <w:t>iod.zsp1@oswiata.tychy.pl</w:t>
      </w:r>
    </w:p>
    <w:p w:rsidR="00DE2D8D" w:rsidRPr="00566D2E" w:rsidRDefault="00DE2D8D" w:rsidP="00DE2D8D">
      <w:pPr>
        <w:spacing w:afterLines="100" w:after="24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DE2D8D" w:rsidRDefault="00DE2D8D" w:rsidP="00DE2D8D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DE2D8D" w:rsidRDefault="00DE2D8D" w:rsidP="00DE2D8D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DE2D8D" w:rsidRPr="009F35C1" w:rsidRDefault="00DE2D8D" w:rsidP="00DE2D8D">
      <w:pPr>
        <w:spacing w:after="0" w:line="360" w:lineRule="auto"/>
        <w:jc w:val="both"/>
        <w:rPr>
          <w:sz w:val="20"/>
          <w:szCs w:val="20"/>
        </w:rPr>
      </w:pPr>
    </w:p>
    <w:p w:rsidR="004A2726" w:rsidRDefault="004A2726">
      <w:bookmarkStart w:id="0" w:name="_GoBack"/>
      <w:bookmarkEnd w:id="0"/>
    </w:p>
    <w:sectPr w:rsidR="004A2726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8D"/>
    <w:rsid w:val="004A2726"/>
    <w:rsid w:val="00D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9097-8861-4684-B47F-4F100D2D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D8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Paduch</dc:creator>
  <cp:keywords/>
  <dc:description/>
  <cp:lastModifiedBy>Jolanta Paduch</cp:lastModifiedBy>
  <cp:revision>1</cp:revision>
  <dcterms:created xsi:type="dcterms:W3CDTF">2018-10-03T11:23:00Z</dcterms:created>
  <dcterms:modified xsi:type="dcterms:W3CDTF">2018-10-03T11:24:00Z</dcterms:modified>
</cp:coreProperties>
</file>